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65E9BE58"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5F7A1B">
        <w:rPr>
          <w:rFonts w:ascii="Invesco Interstate Bold" w:hAnsi="Invesco Interstate Bold"/>
          <w:b/>
          <w:bCs/>
          <w:sz w:val="28"/>
          <w:szCs w:val="28"/>
        </w:rPr>
        <w:t>Tři důvody, proč bychom mohli být svědky růstu japonských akcií</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06BF8214" w14:textId="1EC0173E" w:rsidR="001C27B4" w:rsidRDefault="005F7A1B" w:rsidP="001C27B4">
      <w:pPr>
        <w:spacing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Připadá mi, jako bychom se vrátili na konec osmdesátých let. Ne proto, že bych nosila vysoké tenisky </w:t>
      </w:r>
      <w:proofErr w:type="spellStart"/>
      <w:r>
        <w:rPr>
          <w:rFonts w:ascii="Invesco Interstate Light" w:eastAsiaTheme="minorEastAsia" w:hAnsi="Invesco Interstate Light"/>
          <w:b/>
          <w:bCs/>
          <w:sz w:val="22"/>
          <w:szCs w:val="22"/>
        </w:rPr>
        <w:t>Reebok</w:t>
      </w:r>
      <w:proofErr w:type="spellEnd"/>
      <w:r>
        <w:rPr>
          <w:rFonts w:ascii="Invesco Interstate Light" w:eastAsiaTheme="minorEastAsia" w:hAnsi="Invesco Interstate Light"/>
          <w:b/>
          <w:bCs/>
          <w:sz w:val="22"/>
          <w:szCs w:val="22"/>
        </w:rPr>
        <w:t xml:space="preserve">, džíny </w:t>
      </w:r>
      <w:proofErr w:type="spellStart"/>
      <w:r>
        <w:rPr>
          <w:rFonts w:ascii="Invesco Interstate Light" w:eastAsiaTheme="minorEastAsia" w:hAnsi="Invesco Interstate Light"/>
          <w:b/>
          <w:bCs/>
          <w:sz w:val="22"/>
          <w:szCs w:val="22"/>
        </w:rPr>
        <w:t>Guess</w:t>
      </w:r>
      <w:proofErr w:type="spellEnd"/>
      <w:r>
        <w:rPr>
          <w:rFonts w:ascii="Invesco Interstate Light" w:eastAsiaTheme="minorEastAsia" w:hAnsi="Invesco Interstate Light"/>
          <w:b/>
          <w:bCs/>
          <w:sz w:val="22"/>
          <w:szCs w:val="22"/>
        </w:rPr>
        <w:t xml:space="preserve"> a bundy Esprit nebo poslouchala </w:t>
      </w:r>
      <w:proofErr w:type="spellStart"/>
      <w:r>
        <w:rPr>
          <w:rFonts w:ascii="Invesco Interstate Light" w:eastAsiaTheme="minorEastAsia" w:hAnsi="Invesco Interstate Light"/>
          <w:b/>
          <w:bCs/>
          <w:sz w:val="22"/>
          <w:szCs w:val="22"/>
        </w:rPr>
        <w:t>Men</w:t>
      </w:r>
      <w:proofErr w:type="spellEnd"/>
      <w:r>
        <w:rPr>
          <w:rFonts w:ascii="Invesco Interstate Light" w:eastAsiaTheme="minorEastAsia" w:hAnsi="Invesco Interstate Light"/>
          <w:b/>
          <w:bCs/>
          <w:sz w:val="22"/>
          <w:szCs w:val="22"/>
        </w:rPr>
        <w:t xml:space="preserve"> </w:t>
      </w:r>
      <w:proofErr w:type="spellStart"/>
      <w:r>
        <w:rPr>
          <w:rFonts w:ascii="Invesco Interstate Light" w:eastAsiaTheme="minorEastAsia" w:hAnsi="Invesco Interstate Light"/>
          <w:b/>
          <w:bCs/>
          <w:sz w:val="22"/>
          <w:szCs w:val="22"/>
        </w:rPr>
        <w:t>at</w:t>
      </w:r>
      <w:proofErr w:type="spellEnd"/>
      <w:r>
        <w:rPr>
          <w:rFonts w:ascii="Invesco Interstate Light" w:eastAsiaTheme="minorEastAsia" w:hAnsi="Invesco Interstate Light"/>
          <w:b/>
          <w:bCs/>
          <w:sz w:val="22"/>
          <w:szCs w:val="22"/>
        </w:rPr>
        <w:t xml:space="preserve"> </w:t>
      </w:r>
      <w:proofErr w:type="spellStart"/>
      <w:r>
        <w:rPr>
          <w:rFonts w:ascii="Invesco Interstate Light" w:eastAsiaTheme="minorEastAsia" w:hAnsi="Invesco Interstate Light"/>
          <w:b/>
          <w:bCs/>
          <w:sz w:val="22"/>
          <w:szCs w:val="22"/>
        </w:rPr>
        <w:t>Work</w:t>
      </w:r>
      <w:proofErr w:type="spellEnd"/>
      <w:r>
        <w:rPr>
          <w:rFonts w:ascii="Invesco Interstate Light" w:eastAsiaTheme="minorEastAsia" w:hAnsi="Invesco Interstate Light"/>
          <w:b/>
          <w:bCs/>
          <w:sz w:val="22"/>
          <w:szCs w:val="22"/>
        </w:rPr>
        <w:t xml:space="preserve"> a </w:t>
      </w:r>
      <w:proofErr w:type="spellStart"/>
      <w:r>
        <w:rPr>
          <w:rFonts w:ascii="Invesco Interstate Light" w:eastAsiaTheme="minorEastAsia" w:hAnsi="Invesco Interstate Light"/>
          <w:b/>
          <w:bCs/>
          <w:sz w:val="22"/>
          <w:szCs w:val="22"/>
        </w:rPr>
        <w:t>Yes</w:t>
      </w:r>
      <w:proofErr w:type="spellEnd"/>
      <w:r>
        <w:rPr>
          <w:rFonts w:ascii="Invesco Interstate Light" w:eastAsiaTheme="minorEastAsia" w:hAnsi="Invesco Interstate Light"/>
          <w:b/>
          <w:bCs/>
          <w:sz w:val="22"/>
          <w:szCs w:val="22"/>
        </w:rPr>
        <w:t xml:space="preserve">, ale proto, že panuje velké vzrušení okolo japonské ekonomiky </w:t>
      </w:r>
      <w:r w:rsidRPr="005F7A1B">
        <w:rPr>
          <w:rFonts w:ascii="Invesco Interstate Light" w:eastAsiaTheme="minorEastAsia" w:hAnsi="Invesco Interstate Light"/>
          <w:b/>
          <w:bCs/>
          <w:sz w:val="22"/>
          <w:szCs w:val="22"/>
        </w:rPr>
        <w:t>–</w:t>
      </w:r>
      <w:r>
        <w:rPr>
          <w:rFonts w:ascii="Invesco Interstate Light" w:eastAsiaTheme="minorEastAsia" w:hAnsi="Invesco Interstate Light"/>
          <w:b/>
          <w:bCs/>
          <w:sz w:val="22"/>
          <w:szCs w:val="22"/>
        </w:rPr>
        <w:t xml:space="preserve"> a japonské akcie zažily v uplynulém roce silnou rallye.</w:t>
      </w:r>
    </w:p>
    <w:p w14:paraId="676A3671" w14:textId="2CF66257" w:rsidR="005A3F63" w:rsidRDefault="005F7A1B"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Je to jen pomíjivý trend, nebo se chystá „japonská renesance“?</w:t>
      </w:r>
    </w:p>
    <w:p w14:paraId="6BA90F12" w14:textId="77777777" w:rsidR="005F7A1B" w:rsidRPr="005F7A1B" w:rsidRDefault="005F7A1B" w:rsidP="005F7A1B">
      <w:pPr>
        <w:spacing w:before="100" w:beforeAutospacing="1" w:after="100" w:afterAutospacing="1" w:line="360" w:lineRule="auto"/>
        <w:jc w:val="both"/>
        <w:rPr>
          <w:rFonts w:ascii="Invesco Interstate Light" w:eastAsiaTheme="minorEastAsia" w:hAnsi="Invesco Interstate Light"/>
          <w:sz w:val="22"/>
          <w:szCs w:val="22"/>
        </w:rPr>
      </w:pPr>
      <w:r w:rsidRPr="005F7A1B">
        <w:rPr>
          <w:rFonts w:ascii="Invesco Interstate Light" w:eastAsiaTheme="minorEastAsia" w:hAnsi="Invesco Interstate Light"/>
          <w:sz w:val="22"/>
          <w:szCs w:val="22"/>
        </w:rPr>
        <w:t>Japonské ekonomice a akciovému trhu jistě prospěly silné fiskální a měnové stimuly, které dostaly během pandemie. Z mého pohledu však byly základy položeny již před lety "</w:t>
      </w:r>
      <w:proofErr w:type="spellStart"/>
      <w:r w:rsidRPr="005F7A1B">
        <w:rPr>
          <w:rFonts w:ascii="Invesco Interstate Light" w:eastAsiaTheme="minorEastAsia" w:hAnsi="Invesco Interstate Light"/>
          <w:sz w:val="22"/>
          <w:szCs w:val="22"/>
        </w:rPr>
        <w:t>Abenomikou</w:t>
      </w:r>
      <w:proofErr w:type="spellEnd"/>
      <w:r w:rsidRPr="005F7A1B">
        <w:rPr>
          <w:rFonts w:ascii="Invesco Interstate Light" w:eastAsiaTheme="minorEastAsia" w:hAnsi="Invesco Interstate Light"/>
          <w:sz w:val="22"/>
          <w:szCs w:val="22"/>
        </w:rPr>
        <w:t xml:space="preserve">", ambiciózním ekonomickým plánem, který před více než deseti lety představil zesnulý premiér </w:t>
      </w:r>
      <w:proofErr w:type="spellStart"/>
      <w:r w:rsidRPr="005F7A1B">
        <w:rPr>
          <w:rFonts w:ascii="Invesco Interstate Light" w:eastAsiaTheme="minorEastAsia" w:hAnsi="Invesco Interstate Light"/>
          <w:sz w:val="22"/>
          <w:szCs w:val="22"/>
        </w:rPr>
        <w:t>Šinzó</w:t>
      </w:r>
      <w:proofErr w:type="spellEnd"/>
      <w:r w:rsidRPr="005F7A1B">
        <w:rPr>
          <w:rFonts w:ascii="Invesco Interstate Light" w:eastAsiaTheme="minorEastAsia" w:hAnsi="Invesco Interstate Light"/>
          <w:sz w:val="22"/>
          <w:szCs w:val="22"/>
        </w:rPr>
        <w:t xml:space="preserve"> </w:t>
      </w:r>
      <w:proofErr w:type="spellStart"/>
      <w:r w:rsidRPr="005F7A1B">
        <w:rPr>
          <w:rFonts w:ascii="Invesco Interstate Light" w:eastAsiaTheme="minorEastAsia" w:hAnsi="Invesco Interstate Light"/>
          <w:sz w:val="22"/>
          <w:szCs w:val="22"/>
        </w:rPr>
        <w:t>Abe</w:t>
      </w:r>
      <w:proofErr w:type="spellEnd"/>
      <w:r w:rsidRPr="005F7A1B">
        <w:rPr>
          <w:rFonts w:ascii="Invesco Interstate Light" w:eastAsiaTheme="minorEastAsia" w:hAnsi="Invesco Interstate Light"/>
          <w:sz w:val="22"/>
          <w:szCs w:val="22"/>
        </w:rPr>
        <w:t>.</w:t>
      </w:r>
    </w:p>
    <w:p w14:paraId="542963A5" w14:textId="7EDFF0F9" w:rsidR="001C27B4" w:rsidRDefault="005F7A1B"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Tři šípy „</w:t>
      </w:r>
      <w:proofErr w:type="spellStart"/>
      <w:r>
        <w:rPr>
          <w:rFonts w:ascii="Invesco Interstate Light" w:hAnsi="Invesco Interstate Light"/>
          <w:b/>
          <w:bCs/>
          <w:sz w:val="22"/>
          <w:szCs w:val="22"/>
        </w:rPr>
        <w:t>abenomiky</w:t>
      </w:r>
      <w:proofErr w:type="spellEnd"/>
      <w:r>
        <w:rPr>
          <w:rFonts w:ascii="Invesco Interstate Light" w:hAnsi="Invesco Interstate Light"/>
          <w:b/>
          <w:bCs/>
          <w:sz w:val="22"/>
          <w:szCs w:val="22"/>
        </w:rPr>
        <w:t>“</w:t>
      </w:r>
    </w:p>
    <w:p w14:paraId="73FAC00A" w14:textId="77777777" w:rsidR="005F7A1B" w:rsidRPr="005F7A1B" w:rsidRDefault="005F7A1B" w:rsidP="005F7A1B">
      <w:pPr>
        <w:spacing w:before="100" w:beforeAutospacing="1" w:after="100" w:afterAutospacing="1" w:line="360" w:lineRule="auto"/>
        <w:rPr>
          <w:rFonts w:ascii="Invesco Interstate Light" w:eastAsiaTheme="minorEastAsia" w:hAnsi="Invesco Interstate Light"/>
          <w:sz w:val="22"/>
          <w:szCs w:val="22"/>
        </w:rPr>
      </w:pPr>
      <w:r w:rsidRPr="005F7A1B">
        <w:rPr>
          <w:rFonts w:ascii="Invesco Interstate Light" w:eastAsiaTheme="minorEastAsia" w:hAnsi="Invesco Interstate Light"/>
          <w:sz w:val="22"/>
          <w:szCs w:val="22"/>
        </w:rPr>
        <w:t xml:space="preserve">Cílem </w:t>
      </w:r>
      <w:proofErr w:type="spellStart"/>
      <w:r w:rsidRPr="005F7A1B">
        <w:rPr>
          <w:rFonts w:ascii="Invesco Interstate Light" w:eastAsiaTheme="minorEastAsia" w:hAnsi="Invesco Interstate Light"/>
          <w:sz w:val="22"/>
          <w:szCs w:val="22"/>
        </w:rPr>
        <w:t>abenomiky</w:t>
      </w:r>
      <w:proofErr w:type="spellEnd"/>
      <w:r w:rsidRPr="005F7A1B">
        <w:rPr>
          <w:rFonts w:ascii="Invesco Interstate Light" w:eastAsiaTheme="minorEastAsia" w:hAnsi="Invesco Interstate Light"/>
          <w:sz w:val="22"/>
          <w:szCs w:val="22"/>
        </w:rPr>
        <w:t xml:space="preserve"> bylo vyvést japonskou ekonomiku z desetiletí trvající stagnace. Tento plán zahrnoval tři klíčové iniciativy, známé jako tři šípy:</w:t>
      </w:r>
    </w:p>
    <w:p w14:paraId="356C8F26" w14:textId="03FDCE01" w:rsidR="001C27B4" w:rsidRPr="001C27B4" w:rsidRDefault="005F7A1B" w:rsidP="001C27B4">
      <w:pPr>
        <w:numPr>
          <w:ilvl w:val="0"/>
          <w:numId w:val="33"/>
        </w:numPr>
        <w:spacing w:before="100" w:before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Fiskální stimuly</w:t>
      </w:r>
    </w:p>
    <w:p w14:paraId="20BC8790" w14:textId="3D454825" w:rsidR="001C27B4" w:rsidRPr="001C27B4" w:rsidRDefault="005F7A1B" w:rsidP="001C27B4">
      <w:pPr>
        <w:numPr>
          <w:ilvl w:val="0"/>
          <w:numId w:val="33"/>
        </w:numPr>
        <w:spacing w:before="100" w:before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Velmi uvolněná měnová politika</w:t>
      </w:r>
    </w:p>
    <w:p w14:paraId="7BA96238" w14:textId="3BF97D60" w:rsidR="001C27B4" w:rsidRPr="001C27B4" w:rsidRDefault="005F7A1B" w:rsidP="001C27B4">
      <w:pPr>
        <w:numPr>
          <w:ilvl w:val="0"/>
          <w:numId w:val="33"/>
        </w:numPr>
        <w:spacing w:before="100" w:before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Strukturální reformy ke zlepšení konkurenceschopnosti a růstu ekonomiky</w:t>
      </w:r>
    </w:p>
    <w:p w14:paraId="4F295B7D" w14:textId="1E7C6ADA" w:rsidR="005F7A1B" w:rsidRPr="005F7A1B" w:rsidRDefault="005F7A1B" w:rsidP="005F7A1B">
      <w:pPr>
        <w:spacing w:before="100" w:beforeAutospacing="1" w:after="100" w:after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Jednalo </w:t>
      </w:r>
      <w:r w:rsidRPr="005F7A1B">
        <w:rPr>
          <w:rFonts w:ascii="Invesco Interstate Light" w:eastAsiaTheme="minorEastAsia" w:hAnsi="Invesco Interstate Light"/>
          <w:sz w:val="22"/>
          <w:szCs w:val="22"/>
        </w:rPr>
        <w:t>by se o silnou kombinaci, která by japonské ekonomice umožnila vymanit se z deflace prostřednictvím měnových a fiskálních stimulů, přičemž strukturální reformy měly zlepšit důvěru a zajistit dlouhodobě udržitelný hospodářský růst.</w:t>
      </w:r>
    </w:p>
    <w:p w14:paraId="1D9CDF59" w14:textId="5ABBFD5F" w:rsidR="001C27B4" w:rsidRDefault="005F7A1B" w:rsidP="001C27B4">
      <w:pPr>
        <w:pStyle w:val="Odstavecseseznamem"/>
        <w:numPr>
          <w:ilvl w:val="0"/>
          <w:numId w:val="36"/>
        </w:numPr>
        <w:spacing w:before="100" w:beforeAutospacing="1" w:line="360" w:lineRule="auto"/>
        <w:jc w:val="both"/>
        <w:rPr>
          <w:rFonts w:ascii="Invesco Interstate Light" w:hAnsi="Invesco Interstate Light"/>
        </w:rPr>
      </w:pPr>
      <w:r>
        <w:rPr>
          <w:rFonts w:ascii="Invesco Interstate Light" w:hAnsi="Invesco Interstate Light"/>
        </w:rPr>
        <w:t xml:space="preserve">První šíp, fiskální stimul, byly jednoduše vládní výdaje, které začaly v roce 2013. Patřil k nim rozsáhlý plán výdajů na infrastrukturu, po němž brzy následoval další balíček fiskálních stimulů. </w:t>
      </w:r>
    </w:p>
    <w:p w14:paraId="69803F7E" w14:textId="77777777" w:rsidR="005F7A1B" w:rsidRPr="005F7A1B" w:rsidRDefault="005F7A1B" w:rsidP="005F7A1B">
      <w:pPr>
        <w:pStyle w:val="Odstavecseseznamem"/>
        <w:numPr>
          <w:ilvl w:val="0"/>
          <w:numId w:val="36"/>
        </w:numPr>
        <w:spacing w:before="100" w:beforeAutospacing="1" w:after="100" w:afterAutospacing="1" w:line="360" w:lineRule="auto"/>
        <w:jc w:val="both"/>
        <w:rPr>
          <w:rFonts w:ascii="Invesco Interstate Light" w:hAnsi="Invesco Interstate Light"/>
        </w:rPr>
      </w:pPr>
      <w:r w:rsidRPr="005F7A1B">
        <w:rPr>
          <w:rFonts w:ascii="Invesco Interstate Light" w:hAnsi="Invesco Interstate Light"/>
        </w:rPr>
        <w:t xml:space="preserve">Druhý šíp, velmi </w:t>
      </w:r>
      <w:r w:rsidRPr="005F7A1B">
        <w:rPr>
          <w:rFonts w:ascii="Invesco Interstate Light" w:hAnsi="Invesco Interstate Light"/>
        </w:rPr>
        <w:t xml:space="preserve">uvolněná měnová politika, zahrnovala nejen velmi nízké sazby, ale také rozsáhlé nákupy aktiv. V Japonsku rozsáhlé nákupy aktiv nezahrnují pouze kvantitativní uvolňování, kdy Bank </w:t>
      </w:r>
      <w:proofErr w:type="spellStart"/>
      <w:r w:rsidRPr="005F7A1B">
        <w:rPr>
          <w:rFonts w:ascii="Invesco Interstate Light" w:hAnsi="Invesco Interstate Light"/>
        </w:rPr>
        <w:t>of</w:t>
      </w:r>
      <w:proofErr w:type="spellEnd"/>
      <w:r w:rsidRPr="005F7A1B">
        <w:rPr>
          <w:rFonts w:ascii="Invesco Interstate Light" w:hAnsi="Invesco Interstate Light"/>
        </w:rPr>
        <w:t xml:space="preserve"> Japan nakupuje japonské státní dluhopisy, ale také kvalitativní uvolňování, kdy Bank </w:t>
      </w:r>
      <w:proofErr w:type="spellStart"/>
      <w:r w:rsidRPr="005F7A1B">
        <w:rPr>
          <w:rFonts w:ascii="Invesco Interstate Light" w:hAnsi="Invesco Interstate Light"/>
        </w:rPr>
        <w:t>of</w:t>
      </w:r>
      <w:proofErr w:type="spellEnd"/>
      <w:r w:rsidRPr="005F7A1B">
        <w:rPr>
          <w:rFonts w:ascii="Invesco Interstate Light" w:hAnsi="Invesco Interstate Light"/>
        </w:rPr>
        <w:t xml:space="preserve"> Japan nakupuje riziková aktiva, jako jsou japonské akciové fondy obchodované na burze. Jedním z cílů tohoto šípu bylo povzbudit starší obyvatele Japonska, aby raději investovali, než aby drželi aktiva na bankovních účtech jako vklady. Dalším cílem tohoto šípu bylo oslabit jen a podpořit růst vývozu.</w:t>
      </w:r>
    </w:p>
    <w:p w14:paraId="39D8D097" w14:textId="1C65ADEE" w:rsidR="001C27B4" w:rsidRPr="005F7A1B" w:rsidRDefault="005F7A1B" w:rsidP="005F7A1B">
      <w:pPr>
        <w:pStyle w:val="Odstavecseseznamem"/>
        <w:numPr>
          <w:ilvl w:val="0"/>
          <w:numId w:val="36"/>
        </w:numPr>
        <w:spacing w:before="100" w:beforeAutospacing="1" w:after="100" w:afterAutospacing="1" w:line="360" w:lineRule="auto"/>
        <w:jc w:val="both"/>
        <w:rPr>
          <w:rFonts w:ascii="Invesco Interstate Light" w:hAnsi="Invesco Interstate Light"/>
        </w:rPr>
      </w:pPr>
      <w:r w:rsidRPr="005F7A1B">
        <w:rPr>
          <w:rFonts w:ascii="Invesco Interstate Light" w:hAnsi="Invesco Interstate Light"/>
        </w:rPr>
        <w:lastRenderedPageBreak/>
        <w:t>Třetí šíp, strukturální ekonomická reforma, se skládala z dílčích opatření, která měla zvýšit počet pracovních sil, omezit regulaci podnikání a obecně zvýšit konkurenceschopnost japonské ekonomiky. Patřila sem reforma správy a řízení společností zahájená v roce 2014, jejímž cílem bylo zlepšit kapitálovou efektivnost podniků. Zapadla sem také politika, která měla podpořit návrat většího počtu žen do pracovního procesu a povzbudit společnosti ke zvýšení mezd svých zaměstnanců.</w:t>
      </w:r>
    </w:p>
    <w:p w14:paraId="1EAE204F" w14:textId="3A013257" w:rsidR="001C27B4" w:rsidRPr="001C27B4" w:rsidRDefault="005F7A1B"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Jak </w:t>
      </w:r>
      <w:proofErr w:type="spellStart"/>
      <w:r>
        <w:rPr>
          <w:rFonts w:ascii="Invesco Interstate Light" w:hAnsi="Invesco Interstate Light"/>
          <w:b/>
          <w:bCs/>
          <w:sz w:val="22"/>
          <w:szCs w:val="22"/>
        </w:rPr>
        <w:t>Abeho</w:t>
      </w:r>
      <w:proofErr w:type="spellEnd"/>
      <w:r>
        <w:rPr>
          <w:rFonts w:ascii="Invesco Interstate Light" w:hAnsi="Invesco Interstate Light"/>
          <w:b/>
          <w:bCs/>
          <w:sz w:val="22"/>
          <w:szCs w:val="22"/>
        </w:rPr>
        <w:t xml:space="preserve"> vize ovlivňuje dnešní Japonsko</w:t>
      </w:r>
    </w:p>
    <w:p w14:paraId="0437556E" w14:textId="77777777" w:rsidR="005F7A1B" w:rsidRDefault="005F7A1B" w:rsidP="005F7A1B">
      <w:pPr>
        <w:spacing w:before="100" w:beforeAutospacing="1" w:after="100" w:afterAutospacing="1" w:line="360" w:lineRule="auto"/>
        <w:jc w:val="both"/>
        <w:rPr>
          <w:rFonts w:ascii="Invesco Interstate Light" w:eastAsiaTheme="minorEastAsia" w:hAnsi="Invesco Interstate Light"/>
          <w:sz w:val="22"/>
          <w:szCs w:val="22"/>
        </w:rPr>
      </w:pPr>
      <w:r w:rsidRPr="005F7A1B">
        <w:rPr>
          <w:rFonts w:ascii="Invesco Interstate Light" w:eastAsiaTheme="minorEastAsia" w:hAnsi="Invesco Interstate Light"/>
          <w:sz w:val="22"/>
          <w:szCs w:val="22"/>
        </w:rPr>
        <w:t xml:space="preserve">Přesuneme se do dnešní doby. Lze říci, že Japonsko realizuje velkou část </w:t>
      </w:r>
      <w:proofErr w:type="spellStart"/>
      <w:r w:rsidRPr="005F7A1B">
        <w:rPr>
          <w:rFonts w:ascii="Invesco Interstate Light" w:eastAsiaTheme="minorEastAsia" w:hAnsi="Invesco Interstate Light"/>
          <w:sz w:val="22"/>
          <w:szCs w:val="22"/>
        </w:rPr>
        <w:t>Abeho</w:t>
      </w:r>
      <w:proofErr w:type="spellEnd"/>
      <w:r w:rsidRPr="005F7A1B">
        <w:rPr>
          <w:rFonts w:ascii="Invesco Interstate Light" w:eastAsiaTheme="minorEastAsia" w:hAnsi="Invesco Interstate Light"/>
          <w:sz w:val="22"/>
          <w:szCs w:val="22"/>
        </w:rPr>
        <w:t xml:space="preserve"> vizí, protože se zdá, že se strukturální reformy začínají prosazovat. Jednání o mzdách v japonském </w:t>
      </w:r>
      <w:proofErr w:type="spellStart"/>
      <w:r w:rsidRPr="005F7A1B">
        <w:rPr>
          <w:rFonts w:ascii="Invesco Interstate Light" w:eastAsiaTheme="minorEastAsia" w:hAnsi="Invesco Interstate Light"/>
          <w:sz w:val="22"/>
          <w:szCs w:val="22"/>
        </w:rPr>
        <w:t>Šunto</w:t>
      </w:r>
      <w:proofErr w:type="spellEnd"/>
      <w:r w:rsidRPr="005F7A1B">
        <w:rPr>
          <w:rFonts w:ascii="Invesco Interstate Light" w:eastAsiaTheme="minorEastAsia" w:hAnsi="Invesco Interstate Light"/>
          <w:sz w:val="22"/>
          <w:szCs w:val="22"/>
        </w:rPr>
        <w:t xml:space="preserve"> přinesla lepší výsledky, než se očekávalo. Největší japonská odborová skupina </w:t>
      </w:r>
      <w:proofErr w:type="spellStart"/>
      <w:r w:rsidRPr="005F7A1B">
        <w:rPr>
          <w:rFonts w:ascii="Invesco Interstate Light" w:eastAsiaTheme="minorEastAsia" w:hAnsi="Invesco Interstate Light"/>
          <w:sz w:val="22"/>
          <w:szCs w:val="22"/>
        </w:rPr>
        <w:t>Rengo</w:t>
      </w:r>
      <w:proofErr w:type="spellEnd"/>
      <w:r w:rsidRPr="005F7A1B">
        <w:rPr>
          <w:rFonts w:ascii="Invesco Interstate Light" w:eastAsiaTheme="minorEastAsia" w:hAnsi="Invesco Interstate Light"/>
          <w:sz w:val="22"/>
          <w:szCs w:val="22"/>
        </w:rPr>
        <w:t xml:space="preserve"> a korporace se dohodly na zvýšení mezd o 5,28 %, což je mnohem více než loňské zvýšení o 3,8 % a dokonce lépe, než očekávali ekonomové oslovení v nedávném průzkumu agentury </w:t>
      </w:r>
      <w:proofErr w:type="spellStart"/>
      <w:r w:rsidRPr="005F7A1B">
        <w:rPr>
          <w:rFonts w:ascii="Invesco Interstate Light" w:eastAsiaTheme="minorEastAsia" w:hAnsi="Invesco Interstate Light"/>
          <w:sz w:val="22"/>
          <w:szCs w:val="22"/>
        </w:rPr>
        <w:t>Bloomberg</w:t>
      </w:r>
      <w:proofErr w:type="spellEnd"/>
      <w:r w:rsidRPr="005F7A1B">
        <w:rPr>
          <w:rFonts w:ascii="Invesco Interstate Light" w:eastAsiaTheme="minorEastAsia" w:hAnsi="Invesco Interstate Light"/>
          <w:sz w:val="22"/>
          <w:szCs w:val="22"/>
        </w:rPr>
        <w:t>, kteří předpokládali zvýšení o 4,1 %.</w:t>
      </w:r>
    </w:p>
    <w:p w14:paraId="2680F4E1" w14:textId="429BCF96" w:rsidR="005F7A1B" w:rsidRPr="005F7A1B" w:rsidRDefault="005F7A1B" w:rsidP="005F7A1B">
      <w:pPr>
        <w:spacing w:before="100" w:beforeAutospacing="1" w:after="100" w:afterAutospacing="1" w:line="360" w:lineRule="auto"/>
        <w:jc w:val="both"/>
        <w:rPr>
          <w:rFonts w:ascii="Invesco Interstate Light" w:eastAsiaTheme="minorEastAsia" w:hAnsi="Invesco Interstate Light"/>
          <w:sz w:val="22"/>
          <w:szCs w:val="22"/>
        </w:rPr>
      </w:pPr>
      <w:r w:rsidRPr="005F7A1B">
        <w:rPr>
          <w:rFonts w:ascii="Invesco Interstate Light" w:eastAsiaTheme="minorEastAsia" w:hAnsi="Invesco Interstate Light"/>
          <w:sz w:val="22"/>
          <w:szCs w:val="22"/>
        </w:rPr>
        <w:t xml:space="preserve">Kapitálová efektivnost společností kótovaných na tokijské burze se zlepšila díky reformě správy a řízení společností, která byla zahájena před deseti lety, a TSE usiluje o další pokrok. Japonsko navíc nadále podporuje dva ze tří </w:t>
      </w:r>
      <w:proofErr w:type="spellStart"/>
      <w:r w:rsidRPr="005F7A1B">
        <w:rPr>
          <w:rFonts w:ascii="Invesco Interstate Light" w:eastAsiaTheme="minorEastAsia" w:hAnsi="Invesco Interstate Light"/>
          <w:sz w:val="22"/>
          <w:szCs w:val="22"/>
        </w:rPr>
        <w:t>Abeho</w:t>
      </w:r>
      <w:proofErr w:type="spellEnd"/>
      <w:r w:rsidRPr="005F7A1B">
        <w:rPr>
          <w:rFonts w:ascii="Invesco Interstate Light" w:eastAsiaTheme="minorEastAsia" w:hAnsi="Invesco Interstate Light"/>
          <w:sz w:val="22"/>
          <w:szCs w:val="22"/>
        </w:rPr>
        <w:t xml:space="preserve"> šípů: Za současného premiéra </w:t>
      </w:r>
      <w:proofErr w:type="spellStart"/>
      <w:r w:rsidRPr="005F7A1B">
        <w:rPr>
          <w:rFonts w:ascii="Invesco Interstate Light" w:eastAsiaTheme="minorEastAsia" w:hAnsi="Invesco Interstate Light"/>
          <w:sz w:val="22"/>
          <w:szCs w:val="22"/>
        </w:rPr>
        <w:t>Fumia</w:t>
      </w:r>
      <w:proofErr w:type="spellEnd"/>
      <w:r w:rsidRPr="005F7A1B">
        <w:rPr>
          <w:rFonts w:ascii="Invesco Interstate Light" w:eastAsiaTheme="minorEastAsia" w:hAnsi="Invesco Interstate Light"/>
          <w:sz w:val="22"/>
          <w:szCs w:val="22"/>
        </w:rPr>
        <w:t xml:space="preserve"> </w:t>
      </w:r>
      <w:proofErr w:type="spellStart"/>
      <w:r w:rsidRPr="005F7A1B">
        <w:rPr>
          <w:rFonts w:ascii="Invesco Interstate Light" w:eastAsiaTheme="minorEastAsia" w:hAnsi="Invesco Interstate Light"/>
          <w:sz w:val="22"/>
          <w:szCs w:val="22"/>
        </w:rPr>
        <w:t>Kišidy</w:t>
      </w:r>
      <w:proofErr w:type="spellEnd"/>
      <w:r w:rsidRPr="005F7A1B">
        <w:rPr>
          <w:rFonts w:ascii="Invesco Interstate Light" w:eastAsiaTheme="minorEastAsia" w:hAnsi="Invesco Interstate Light"/>
          <w:sz w:val="22"/>
          <w:szCs w:val="22"/>
        </w:rPr>
        <w:t xml:space="preserve"> jsme byli svědky dalších výrazných fiskálních stimulů a premiér navíc podporuje strukturální reformy. </w:t>
      </w:r>
      <w:proofErr w:type="spellStart"/>
      <w:r w:rsidRPr="005F7A1B">
        <w:rPr>
          <w:rFonts w:ascii="Invesco Interstate Light" w:eastAsiaTheme="minorEastAsia" w:hAnsi="Invesco Interstate Light"/>
          <w:sz w:val="22"/>
          <w:szCs w:val="22"/>
        </w:rPr>
        <w:t>Kišida</w:t>
      </w:r>
      <w:proofErr w:type="spellEnd"/>
      <w:r w:rsidRPr="005F7A1B">
        <w:rPr>
          <w:rFonts w:ascii="Invesco Interstate Light" w:eastAsiaTheme="minorEastAsia" w:hAnsi="Invesco Interstate Light"/>
          <w:sz w:val="22"/>
          <w:szCs w:val="22"/>
        </w:rPr>
        <w:t xml:space="preserve"> nedávno zmírnil regulaci a zjednodušil podnikatelské postupy – umožnil zahraničním investorům vyplňovat vládní žádosti v angličtině </w:t>
      </w:r>
      <w:r w:rsidR="009E3AC4" w:rsidRPr="005F7A1B">
        <w:rPr>
          <w:rFonts w:ascii="Invesco Interstate Light" w:eastAsiaTheme="minorEastAsia" w:hAnsi="Invesco Interstate Light"/>
          <w:sz w:val="22"/>
          <w:szCs w:val="22"/>
        </w:rPr>
        <w:t>–</w:t>
      </w:r>
      <w:r w:rsidRPr="005F7A1B">
        <w:rPr>
          <w:rFonts w:ascii="Invesco Interstate Light" w:eastAsiaTheme="minorEastAsia" w:hAnsi="Invesco Interstate Light"/>
          <w:sz w:val="22"/>
          <w:szCs w:val="22"/>
        </w:rPr>
        <w:t xml:space="preserve"> s cílem podpořit domácí i zahraniční investice.</w:t>
      </w:r>
    </w:p>
    <w:p w14:paraId="6D5FB68C" w14:textId="685DEBFF" w:rsidR="005B47D2" w:rsidRDefault="009E3AC4"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Tři důvody, proč by mohly růst japonské akcie</w:t>
      </w:r>
    </w:p>
    <w:p w14:paraId="2CF49573" w14:textId="77777777" w:rsidR="009E3AC4" w:rsidRPr="009E3AC4" w:rsidRDefault="009E3AC4" w:rsidP="009E3AC4">
      <w:pPr>
        <w:spacing w:before="100" w:beforeAutospacing="1" w:after="100" w:afterAutospacing="1" w:line="360" w:lineRule="auto"/>
        <w:jc w:val="both"/>
        <w:rPr>
          <w:rFonts w:ascii="Invesco Interstate Light" w:eastAsiaTheme="minorEastAsia" w:hAnsi="Invesco Interstate Light"/>
          <w:sz w:val="22"/>
          <w:szCs w:val="22"/>
        </w:rPr>
      </w:pPr>
      <w:r w:rsidRPr="009E3AC4">
        <w:rPr>
          <w:rFonts w:ascii="Invesco Interstate Light" w:eastAsiaTheme="minorEastAsia" w:hAnsi="Invesco Interstate Light"/>
          <w:sz w:val="22"/>
          <w:szCs w:val="22"/>
        </w:rPr>
        <w:t xml:space="preserve">Někteří by mohl namítnout, že silná </w:t>
      </w:r>
      <w:proofErr w:type="spellStart"/>
      <w:r w:rsidRPr="009E3AC4">
        <w:rPr>
          <w:rFonts w:ascii="Invesco Interstate Light" w:eastAsiaTheme="minorEastAsia" w:hAnsi="Invesco Interstate Light"/>
          <w:sz w:val="22"/>
          <w:szCs w:val="22"/>
        </w:rPr>
        <w:t>rally</w:t>
      </w:r>
      <w:proofErr w:type="spellEnd"/>
      <w:r w:rsidRPr="009E3AC4">
        <w:rPr>
          <w:rFonts w:ascii="Invesco Interstate Light" w:eastAsiaTheme="minorEastAsia" w:hAnsi="Invesco Interstate Light"/>
          <w:sz w:val="22"/>
          <w:szCs w:val="22"/>
        </w:rPr>
        <w:t xml:space="preserve"> na japonském akciovém trhu v uplynulém roce už započítala všechna zlepšení v japonské ekonomice. Já však tvrdím, že existují další důvody, které by mohly japonské akcie v budoucnu posunout ještě výš.</w:t>
      </w:r>
    </w:p>
    <w:p w14:paraId="33DA2D71" w14:textId="5BF1EE32" w:rsidR="009E3AC4" w:rsidRPr="009E3AC4" w:rsidRDefault="009E3AC4" w:rsidP="009E3AC4">
      <w:pPr>
        <w:pStyle w:val="Odstavecseseznamem"/>
        <w:numPr>
          <w:ilvl w:val="0"/>
          <w:numId w:val="39"/>
        </w:numPr>
        <w:spacing w:before="100" w:beforeAutospacing="1" w:after="100" w:afterAutospacing="1" w:line="360" w:lineRule="auto"/>
        <w:jc w:val="both"/>
        <w:rPr>
          <w:rFonts w:ascii="Invesco Interstate Light" w:hAnsi="Invesco Interstate Light"/>
        </w:rPr>
      </w:pPr>
      <w:r w:rsidRPr="009E3AC4">
        <w:rPr>
          <w:rFonts w:ascii="Invesco Interstate Light" w:hAnsi="Invesco Interstate Light"/>
        </w:rPr>
        <w:t xml:space="preserve">Atraktivní ocenění. Zaprvé, navzdory silné </w:t>
      </w:r>
      <w:proofErr w:type="spellStart"/>
      <w:r w:rsidRPr="009E3AC4">
        <w:rPr>
          <w:rFonts w:ascii="Invesco Interstate Light" w:hAnsi="Invesco Interstate Light"/>
        </w:rPr>
        <w:t>rally</w:t>
      </w:r>
      <w:proofErr w:type="spellEnd"/>
      <w:r w:rsidRPr="009E3AC4">
        <w:rPr>
          <w:rFonts w:ascii="Invesco Interstate Light" w:hAnsi="Invesco Interstate Light"/>
        </w:rPr>
        <w:t xml:space="preserve"> v uplynulém roce vypadají japonské akcie stále atraktivně. Ocenění indexu MSCI Japan je stále nízké, poměr kumulativní ceny k zisku (P/E) činí 16,35 ve srovnání s ostatními hlavními indexy, jako je index S&amp;P 500, který činí 22,93.3 Kromě toho dividendový výnos indexu MSCI Japan činí 1,99 %, což je výrazně více než u ostatních hlavních indexů, jako je index S&amp;P 500, který činí 1,4 %.3</w:t>
      </w:r>
    </w:p>
    <w:p w14:paraId="540E1C92" w14:textId="4FCE6851" w:rsidR="009E3AC4" w:rsidRPr="009E3AC4" w:rsidRDefault="009E3AC4" w:rsidP="009E3AC4">
      <w:pPr>
        <w:pStyle w:val="Odstavecseseznamem"/>
        <w:numPr>
          <w:ilvl w:val="0"/>
          <w:numId w:val="38"/>
        </w:numPr>
        <w:spacing w:before="100" w:beforeAutospacing="1" w:after="100" w:afterAutospacing="1" w:line="360" w:lineRule="auto"/>
        <w:jc w:val="both"/>
        <w:rPr>
          <w:rFonts w:ascii="Invesco Interstate Light" w:hAnsi="Invesco Interstate Light"/>
        </w:rPr>
      </w:pPr>
      <w:r w:rsidRPr="009E3AC4">
        <w:rPr>
          <w:rFonts w:ascii="Invesco Interstate Light" w:hAnsi="Invesco Interstate Light"/>
        </w:rPr>
        <w:lastRenderedPageBreak/>
        <w:t xml:space="preserve">Hotovost na vedlejší koleji. Za druhé, v Japonsku je poměrně dost hotovosti. Hotovostní vklady tvoří v Japonsku neuvěřitelných 52,5 % finančních aktiv domácností, zatímco v USA pouze 12,5 % a v eurozóně 35,5 %. Není překvapením, že domácnosti v USA a eurozóně mají víc prostředků </w:t>
      </w:r>
      <w:r w:rsidRPr="005F7A1B">
        <w:rPr>
          <w:rFonts w:ascii="Invesco Interstate Light" w:hAnsi="Invesco Interstate Light"/>
        </w:rPr>
        <w:t>–</w:t>
      </w:r>
      <w:r w:rsidRPr="009E3AC4">
        <w:rPr>
          <w:rFonts w:ascii="Invesco Interstate Light" w:hAnsi="Invesco Interstate Light"/>
        </w:rPr>
        <w:t xml:space="preserve"> alokovaných do akcií. Katalyzátorem přesunu hotovosti do akcií by mohl být nový NISA (</w:t>
      </w:r>
      <w:proofErr w:type="spellStart"/>
      <w:r w:rsidRPr="009E3AC4">
        <w:rPr>
          <w:rFonts w:ascii="Invesco Interstate Light" w:hAnsi="Invesco Interstate Light"/>
        </w:rPr>
        <w:t>Nippon</w:t>
      </w:r>
      <w:proofErr w:type="spellEnd"/>
      <w:r w:rsidRPr="009E3AC4">
        <w:rPr>
          <w:rFonts w:ascii="Invesco Interstate Light" w:hAnsi="Invesco Interstate Light"/>
        </w:rPr>
        <w:t xml:space="preserve"> </w:t>
      </w:r>
      <w:proofErr w:type="spellStart"/>
      <w:r w:rsidRPr="009E3AC4">
        <w:rPr>
          <w:rFonts w:ascii="Invesco Interstate Light" w:hAnsi="Invesco Interstate Light"/>
        </w:rPr>
        <w:t>Individual</w:t>
      </w:r>
      <w:proofErr w:type="spellEnd"/>
      <w:r w:rsidRPr="009E3AC4">
        <w:rPr>
          <w:rFonts w:ascii="Invesco Interstate Light" w:hAnsi="Invesco Interstate Light"/>
        </w:rPr>
        <w:t xml:space="preserve"> </w:t>
      </w:r>
      <w:proofErr w:type="spellStart"/>
      <w:r w:rsidRPr="009E3AC4">
        <w:rPr>
          <w:rFonts w:ascii="Invesco Interstate Light" w:hAnsi="Invesco Interstate Light"/>
        </w:rPr>
        <w:t>Savings</w:t>
      </w:r>
      <w:proofErr w:type="spellEnd"/>
      <w:r w:rsidRPr="009E3AC4">
        <w:rPr>
          <w:rFonts w:ascii="Invesco Interstate Light" w:hAnsi="Invesco Interstate Light"/>
        </w:rPr>
        <w:t xml:space="preserve"> </w:t>
      </w:r>
      <w:proofErr w:type="spellStart"/>
      <w:r w:rsidRPr="009E3AC4">
        <w:rPr>
          <w:rFonts w:ascii="Invesco Interstate Light" w:hAnsi="Invesco Interstate Light"/>
        </w:rPr>
        <w:t>Account</w:t>
      </w:r>
      <w:proofErr w:type="spellEnd"/>
      <w:r w:rsidRPr="009E3AC4">
        <w:rPr>
          <w:rFonts w:ascii="Invesco Interstate Light" w:hAnsi="Invesco Interstate Light"/>
        </w:rPr>
        <w:t>), od daně osvobozený plán investičního spoření, který byl spuštěn v lednu a který má japonské domácnosti povzbudit k přesunu peněz z bankovních vkladů do akcií.</w:t>
      </w:r>
    </w:p>
    <w:p w14:paraId="3C6AE2AF" w14:textId="50031723" w:rsidR="009E3AC4" w:rsidRPr="009E3AC4" w:rsidRDefault="009E3AC4" w:rsidP="009E3AC4">
      <w:pPr>
        <w:pStyle w:val="Odstavecseseznamem"/>
        <w:numPr>
          <w:ilvl w:val="0"/>
          <w:numId w:val="37"/>
        </w:numPr>
        <w:spacing w:before="100" w:beforeAutospacing="1" w:after="100" w:afterAutospacing="1" w:line="360" w:lineRule="auto"/>
        <w:jc w:val="both"/>
        <w:rPr>
          <w:rFonts w:ascii="Invesco Interstate Light" w:hAnsi="Invesco Interstate Light"/>
        </w:rPr>
      </w:pPr>
      <w:r w:rsidRPr="009E3AC4">
        <w:rPr>
          <w:rFonts w:ascii="Invesco Interstate Light" w:hAnsi="Invesco Interstate Light"/>
        </w:rPr>
        <w:t xml:space="preserve">Normalizace měnové politiky. A konečně, rozhodnutí Bank </w:t>
      </w:r>
      <w:proofErr w:type="spellStart"/>
      <w:r w:rsidRPr="009E3AC4">
        <w:rPr>
          <w:rFonts w:ascii="Invesco Interstate Light" w:hAnsi="Invesco Interstate Light"/>
        </w:rPr>
        <w:t>of</w:t>
      </w:r>
      <w:proofErr w:type="spellEnd"/>
      <w:r w:rsidRPr="009E3AC4">
        <w:rPr>
          <w:rFonts w:ascii="Invesco Interstate Light" w:hAnsi="Invesco Interstate Light"/>
        </w:rPr>
        <w:t xml:space="preserve"> Japan postupně normalizovat měnovou politiku může být také pozitivní, až k němu dojde. Taková normalizace by mohla být podporou důvěry </w:t>
      </w:r>
      <w:r w:rsidRPr="005F7A1B">
        <w:rPr>
          <w:rFonts w:ascii="Invesco Interstate Light" w:hAnsi="Invesco Interstate Light"/>
        </w:rPr>
        <w:t>–</w:t>
      </w:r>
      <w:r w:rsidRPr="009E3AC4">
        <w:rPr>
          <w:rFonts w:ascii="Invesco Interstate Light" w:hAnsi="Invesco Interstate Light"/>
        </w:rPr>
        <w:t xml:space="preserve"> první zvýšení sazeb po 17 letech by vyslalo silný signál, že japonská ekonomika již nepotřebuje tak vysokou míru podpory, protože je v lepší kondici a očekává se, že se bude i nadále zlepšovat. Kromě toho normalizace měnové politiky pravděpodobně způsobí posílení japonského jenu, což by mohlo být také pozitivní pro japonské akcie. To by mohlo povzbudit zahraniční investory, které odradilo oslabení jenu, jež v uplynulém roce znehodnotilo velkou část výnosů japonských akcií pro zahraniční investory.</w:t>
      </w:r>
    </w:p>
    <w:p w14:paraId="6B871EA6" w14:textId="77777777" w:rsidR="009E3AC4" w:rsidRPr="009E3AC4" w:rsidRDefault="009E3AC4" w:rsidP="009E3AC4">
      <w:pPr>
        <w:spacing w:before="100" w:beforeAutospacing="1" w:after="100" w:afterAutospacing="1" w:line="360" w:lineRule="auto"/>
        <w:jc w:val="both"/>
        <w:rPr>
          <w:rFonts w:ascii="Invesco Interstate Light" w:eastAsiaTheme="minorEastAsia" w:hAnsi="Invesco Interstate Light"/>
          <w:sz w:val="22"/>
          <w:szCs w:val="22"/>
        </w:rPr>
      </w:pPr>
      <w:r w:rsidRPr="009E3AC4">
        <w:rPr>
          <w:rFonts w:ascii="Invesco Interstate Light" w:eastAsiaTheme="minorEastAsia" w:hAnsi="Invesco Interstate Light"/>
          <w:i/>
          <w:iCs/>
          <w:sz w:val="22"/>
          <w:szCs w:val="22"/>
        </w:rPr>
        <w:t xml:space="preserve">„Již v prosinci můj kolega </w:t>
      </w:r>
      <w:proofErr w:type="spellStart"/>
      <w:r w:rsidRPr="009E3AC4">
        <w:rPr>
          <w:rFonts w:ascii="Invesco Interstate Light" w:eastAsiaTheme="minorEastAsia" w:hAnsi="Invesco Interstate Light"/>
          <w:i/>
          <w:iCs/>
          <w:sz w:val="22"/>
          <w:szCs w:val="22"/>
        </w:rPr>
        <w:t>Daiji</w:t>
      </w:r>
      <w:proofErr w:type="spellEnd"/>
      <w:r w:rsidRPr="009E3AC4">
        <w:rPr>
          <w:rFonts w:ascii="Invesco Interstate Light" w:eastAsiaTheme="minorEastAsia" w:hAnsi="Invesco Interstate Light"/>
          <w:i/>
          <w:iCs/>
          <w:sz w:val="22"/>
          <w:szCs w:val="22"/>
        </w:rPr>
        <w:t xml:space="preserve"> </w:t>
      </w:r>
      <w:proofErr w:type="spellStart"/>
      <w:r w:rsidRPr="009E3AC4">
        <w:rPr>
          <w:rFonts w:ascii="Invesco Interstate Light" w:eastAsiaTheme="minorEastAsia" w:hAnsi="Invesco Interstate Light"/>
          <w:i/>
          <w:iCs/>
          <w:sz w:val="22"/>
          <w:szCs w:val="22"/>
        </w:rPr>
        <w:t>Ozawa</w:t>
      </w:r>
      <w:proofErr w:type="spellEnd"/>
      <w:r w:rsidRPr="009E3AC4">
        <w:rPr>
          <w:rFonts w:ascii="Invesco Interstate Light" w:eastAsiaTheme="minorEastAsia" w:hAnsi="Invesco Interstate Light"/>
          <w:i/>
          <w:iCs/>
          <w:sz w:val="22"/>
          <w:szCs w:val="22"/>
        </w:rPr>
        <w:t xml:space="preserve">, investiční ředitel a vedoucí oddělení japonských akcií, přesně předpověděl, že index </w:t>
      </w:r>
      <w:proofErr w:type="spellStart"/>
      <w:r w:rsidRPr="009E3AC4">
        <w:rPr>
          <w:rFonts w:ascii="Invesco Interstate Light" w:eastAsiaTheme="minorEastAsia" w:hAnsi="Invesco Interstate Light"/>
          <w:i/>
          <w:iCs/>
          <w:sz w:val="22"/>
          <w:szCs w:val="22"/>
        </w:rPr>
        <w:t>Nikkei</w:t>
      </w:r>
      <w:proofErr w:type="spellEnd"/>
      <w:r w:rsidRPr="009E3AC4">
        <w:rPr>
          <w:rFonts w:ascii="Invesco Interstate Light" w:eastAsiaTheme="minorEastAsia" w:hAnsi="Invesco Interstate Light"/>
          <w:i/>
          <w:iCs/>
          <w:sz w:val="22"/>
          <w:szCs w:val="22"/>
        </w:rPr>
        <w:t xml:space="preserve"> 225 vzroste nad své předchozí maximum z roku 1989.  Předpokládal, že pokud dojde k trvalému růstu nominálního hrubého domácího produktu podpořenému pečlivou normalizací měnové politiky Bank </w:t>
      </w:r>
      <w:proofErr w:type="spellStart"/>
      <w:r w:rsidRPr="009E3AC4">
        <w:rPr>
          <w:rFonts w:ascii="Invesco Interstate Light" w:eastAsiaTheme="minorEastAsia" w:hAnsi="Invesco Interstate Light"/>
          <w:i/>
          <w:iCs/>
          <w:sz w:val="22"/>
          <w:szCs w:val="22"/>
        </w:rPr>
        <w:t>of</w:t>
      </w:r>
      <w:proofErr w:type="spellEnd"/>
      <w:r w:rsidRPr="009E3AC4">
        <w:rPr>
          <w:rFonts w:ascii="Invesco Interstate Light" w:eastAsiaTheme="minorEastAsia" w:hAnsi="Invesco Interstate Light"/>
          <w:i/>
          <w:iCs/>
          <w:sz w:val="22"/>
          <w:szCs w:val="22"/>
        </w:rPr>
        <w:t xml:space="preserve"> Japan a vládními reformami s cílem posílit celý investiční řetězec, bude se japonskému akciovému trhu pravděpodobně i nadále dařit. S tímto hodnocením nelze než souhlasit a já se budu těšit se na další pozitivní vývoj japonské ekonomiky a akciového trhu,“</w:t>
      </w:r>
      <w:r w:rsidRPr="009E3AC4">
        <w:rPr>
          <w:rFonts w:ascii="Invesco Interstate Light" w:eastAsiaTheme="minorEastAsia" w:hAnsi="Invesco Interstate Light"/>
          <w:sz w:val="22"/>
          <w:szCs w:val="22"/>
        </w:rPr>
        <w:t xml:space="preserve"> uzavírá Kristina </w:t>
      </w:r>
      <w:proofErr w:type="spellStart"/>
      <w:r w:rsidRPr="009E3AC4">
        <w:rPr>
          <w:rFonts w:ascii="Invesco Interstate Light" w:eastAsiaTheme="minorEastAsia" w:hAnsi="Invesco Interstate Light"/>
          <w:sz w:val="22"/>
          <w:szCs w:val="22"/>
        </w:rPr>
        <w:t>Hooper</w:t>
      </w:r>
      <w:proofErr w:type="spellEnd"/>
      <w:r w:rsidRPr="009E3AC4">
        <w:rPr>
          <w:rFonts w:ascii="Invesco Interstate Light" w:eastAsiaTheme="minorEastAsia" w:hAnsi="Invesco Interstate Light"/>
          <w:sz w:val="22"/>
          <w:szCs w:val="22"/>
        </w:rPr>
        <w:t xml:space="preserve">, </w:t>
      </w:r>
      <w:proofErr w:type="spellStart"/>
      <w:r w:rsidRPr="009E3AC4">
        <w:rPr>
          <w:rFonts w:ascii="Invesco Interstate Light" w:eastAsiaTheme="minorEastAsia" w:hAnsi="Invesco Interstate Light"/>
          <w:sz w:val="22"/>
          <w:szCs w:val="22"/>
        </w:rPr>
        <w:t>Invesco</w:t>
      </w:r>
      <w:proofErr w:type="spellEnd"/>
      <w:r w:rsidRPr="009E3AC4">
        <w:rPr>
          <w:rFonts w:ascii="Invesco Interstate Light" w:eastAsiaTheme="minorEastAsia" w:hAnsi="Invesco Interstate Light"/>
          <w:sz w:val="22"/>
          <w:szCs w:val="22"/>
        </w:rPr>
        <w:t>.</w:t>
      </w: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21C93">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23749" w14:textId="77777777" w:rsidR="00D21C93" w:rsidRDefault="00D21C93">
      <w:r>
        <w:separator/>
      </w:r>
    </w:p>
  </w:endnote>
  <w:endnote w:type="continuationSeparator" w:id="0">
    <w:p w14:paraId="46EB0D43" w14:textId="77777777" w:rsidR="00D21C93" w:rsidRDefault="00D21C93">
      <w:r>
        <w:continuationSeparator/>
      </w:r>
    </w:p>
  </w:endnote>
  <w:endnote w:type="continuationNotice" w:id="1">
    <w:p w14:paraId="42995CED" w14:textId="77777777" w:rsidR="00D21C93" w:rsidRDefault="00D21C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B37C" w14:textId="77777777" w:rsidR="00D21C93" w:rsidRDefault="00D21C93">
      <w:r>
        <w:separator/>
      </w:r>
    </w:p>
  </w:footnote>
  <w:footnote w:type="continuationSeparator" w:id="0">
    <w:p w14:paraId="08575547" w14:textId="77777777" w:rsidR="00D21C93" w:rsidRDefault="00D21C93">
      <w:r>
        <w:continuationSeparator/>
      </w:r>
    </w:p>
  </w:footnote>
  <w:footnote w:type="continuationNotice" w:id="1">
    <w:p w14:paraId="5B611A24" w14:textId="77777777" w:rsidR="00D21C93" w:rsidRDefault="00D21C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01E9FBDC" w:rsidR="00702C33" w:rsidRPr="000730A6" w:rsidRDefault="005F7A1B" w:rsidP="0083625E">
    <w:pPr>
      <w:pStyle w:val="Zhlav"/>
      <w:pBdr>
        <w:top w:val="single" w:sz="4" w:space="3" w:color="auto"/>
      </w:pBdr>
      <w:spacing w:line="298" w:lineRule="exact"/>
      <w:ind w:left="3402"/>
      <w:jc w:val="right"/>
      <w:rPr>
        <w:color w:val="000000"/>
        <w:sz w:val="28"/>
        <w:szCs w:val="28"/>
      </w:rPr>
    </w:pPr>
    <w:r>
      <w:rPr>
        <w:color w:val="000000"/>
        <w:sz w:val="28"/>
        <w:szCs w:val="28"/>
      </w:rPr>
      <w:t>21</w:t>
    </w:r>
    <w:r w:rsidR="0083625E">
      <w:rPr>
        <w:color w:val="000000"/>
        <w:sz w:val="28"/>
        <w:szCs w:val="28"/>
      </w:rPr>
      <w:t>.</w:t>
    </w:r>
    <w:r w:rsidR="001C27B4">
      <w:rPr>
        <w:color w:val="000000"/>
        <w:sz w:val="28"/>
        <w:szCs w:val="28"/>
      </w:rPr>
      <w:t>3</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A46D70"/>
    <w:multiLevelType w:val="multilevel"/>
    <w:tmpl w:val="11820CCE"/>
    <w:numStyleLink w:val="FormatvorlageAufgezhlt"/>
  </w:abstractNum>
  <w:abstractNum w:abstractNumId="14"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630B23"/>
    <w:multiLevelType w:val="multilevel"/>
    <w:tmpl w:val="11820CCE"/>
    <w:numStyleLink w:val="FormatvorlageAufgezhlt"/>
  </w:abstractNum>
  <w:abstractNum w:abstractNumId="2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D403C3"/>
    <w:multiLevelType w:val="multilevel"/>
    <w:tmpl w:val="11820CCE"/>
    <w:numStyleLink w:val="FormatvorlageAufgezhlt"/>
  </w:abstractNum>
  <w:abstractNum w:abstractNumId="29" w15:restartNumberingAfterBreak="0">
    <w:nsid w:val="6C6C4721"/>
    <w:multiLevelType w:val="multilevel"/>
    <w:tmpl w:val="11820CCE"/>
    <w:numStyleLink w:val="FormatvorlageAufgezhlt"/>
  </w:abstractNum>
  <w:abstractNum w:abstractNumId="3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5"/>
  </w:num>
  <w:num w:numId="3" w16cid:durableId="1282105589">
    <w:abstractNumId w:val="26"/>
  </w:num>
  <w:num w:numId="4" w16cid:durableId="1617441895">
    <w:abstractNumId w:val="17"/>
  </w:num>
  <w:num w:numId="5" w16cid:durableId="1267425896">
    <w:abstractNumId w:val="20"/>
  </w:num>
  <w:num w:numId="6" w16cid:durableId="1792238606">
    <w:abstractNumId w:val="28"/>
  </w:num>
  <w:num w:numId="7" w16cid:durableId="190919629">
    <w:abstractNumId w:val="29"/>
  </w:num>
  <w:num w:numId="8" w16cid:durableId="2083285618">
    <w:abstractNumId w:val="1"/>
  </w:num>
  <w:num w:numId="9" w16cid:durableId="1653213567">
    <w:abstractNumId w:val="32"/>
  </w:num>
  <w:num w:numId="10" w16cid:durableId="849561851">
    <w:abstractNumId w:val="13"/>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7"/>
  </w:num>
  <w:num w:numId="14" w16cid:durableId="2009676695">
    <w:abstractNumId w:val="38"/>
  </w:num>
  <w:num w:numId="15" w16cid:durableId="1629623239">
    <w:abstractNumId w:val="25"/>
  </w:num>
  <w:num w:numId="16" w16cid:durableId="1975720235">
    <w:abstractNumId w:val="7"/>
  </w:num>
  <w:num w:numId="17" w16cid:durableId="103501300">
    <w:abstractNumId w:val="2"/>
  </w:num>
  <w:num w:numId="18" w16cid:durableId="1434014312">
    <w:abstractNumId w:val="27"/>
  </w:num>
  <w:num w:numId="19" w16cid:durableId="832065860">
    <w:abstractNumId w:val="30"/>
  </w:num>
  <w:num w:numId="20" w16cid:durableId="667943464">
    <w:abstractNumId w:val="35"/>
  </w:num>
  <w:num w:numId="21" w16cid:durableId="225343112">
    <w:abstractNumId w:val="34"/>
  </w:num>
  <w:num w:numId="22" w16cid:durableId="1319532336">
    <w:abstractNumId w:val="12"/>
  </w:num>
  <w:num w:numId="23" w16cid:durableId="1341154147">
    <w:abstractNumId w:val="24"/>
  </w:num>
  <w:num w:numId="24" w16cid:durableId="796413596">
    <w:abstractNumId w:val="19"/>
  </w:num>
  <w:num w:numId="25" w16cid:durableId="2010979537">
    <w:abstractNumId w:val="36"/>
  </w:num>
  <w:num w:numId="26" w16cid:durableId="951936802">
    <w:abstractNumId w:val="23"/>
  </w:num>
  <w:num w:numId="27" w16cid:durableId="1672954226">
    <w:abstractNumId w:val="3"/>
  </w:num>
  <w:num w:numId="28" w16cid:durableId="953906591">
    <w:abstractNumId w:val="6"/>
  </w:num>
  <w:num w:numId="29" w16cid:durableId="923606003">
    <w:abstractNumId w:val="33"/>
  </w:num>
  <w:num w:numId="30" w16cid:durableId="299457400">
    <w:abstractNumId w:val="21"/>
  </w:num>
  <w:num w:numId="31" w16cid:durableId="1958028445">
    <w:abstractNumId w:val="22"/>
  </w:num>
  <w:num w:numId="32" w16cid:durableId="212545389">
    <w:abstractNumId w:val="8"/>
  </w:num>
  <w:num w:numId="33" w16cid:durableId="111411800">
    <w:abstractNumId w:val="31"/>
  </w:num>
  <w:num w:numId="34" w16cid:durableId="944458871">
    <w:abstractNumId w:val="16"/>
  </w:num>
  <w:num w:numId="35" w16cid:durableId="766652392">
    <w:abstractNumId w:val="11"/>
  </w:num>
  <w:num w:numId="36" w16cid:durableId="1823738884">
    <w:abstractNumId w:val="10"/>
  </w:num>
  <w:num w:numId="37" w16cid:durableId="479690615">
    <w:abstractNumId w:val="14"/>
  </w:num>
  <w:num w:numId="38" w16cid:durableId="965350622">
    <w:abstractNumId w:val="18"/>
  </w:num>
  <w:num w:numId="39" w16cid:durableId="207311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6751</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2024-03-21T08:42:00Z</dcterms:created>
  <dcterms:modified xsi:type="dcterms:W3CDTF">2024-03-21T08:42:00Z</dcterms:modified>
</cp:coreProperties>
</file>